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38F7" w14:textId="77777777" w:rsidR="00F06E9A" w:rsidRDefault="00F06E9A" w:rsidP="002E05B1">
      <w:pPr>
        <w:spacing w:line="276" w:lineRule="auto"/>
        <w:rPr>
          <w:rFonts w:cs="Arial"/>
          <w:b/>
          <w:sz w:val="28"/>
        </w:rPr>
      </w:pPr>
    </w:p>
    <w:p w14:paraId="062303AC" w14:textId="77777777" w:rsidR="002E05B1" w:rsidRPr="005671CE" w:rsidRDefault="006D3588" w:rsidP="002E05B1">
      <w:pPr>
        <w:spacing w:line="276" w:lineRule="auto"/>
        <w:rPr>
          <w:rFonts w:cs="Arial"/>
          <w:b/>
          <w:sz w:val="28"/>
          <w:lang w:val="fr-FR"/>
        </w:rPr>
      </w:pPr>
      <w:r>
        <w:rPr>
          <w:rFonts w:eastAsia="Arial" w:cs="Arial"/>
          <w:b/>
          <w:bCs/>
          <w:sz w:val="28"/>
          <w:szCs w:val="28"/>
          <w:lang w:val="fr-FR"/>
        </w:rPr>
        <w:t>TUDOR REVIENT AUX SPORTS AUTOMOBILES, EN S’ASSOCIANT AVEC</w:t>
      </w:r>
    </w:p>
    <w:p w14:paraId="085089D8" w14:textId="77777777" w:rsidR="002E05B1" w:rsidRPr="005671CE" w:rsidRDefault="006D3588" w:rsidP="002E05B1">
      <w:pPr>
        <w:spacing w:line="276" w:lineRule="auto"/>
        <w:rPr>
          <w:rFonts w:cs="Arial"/>
          <w:b/>
          <w:sz w:val="28"/>
          <w:lang w:val="fr-FR"/>
        </w:rPr>
      </w:pPr>
      <w:r>
        <w:rPr>
          <w:rFonts w:eastAsia="Arial" w:cs="Arial"/>
          <w:b/>
          <w:bCs/>
          <w:sz w:val="28"/>
          <w:szCs w:val="28"/>
          <w:lang w:val="fr-FR"/>
        </w:rPr>
        <w:t>LA NOUVELLE ÉCURIE VISA CASH APP RB FORMULA ONE TEAM</w:t>
      </w:r>
    </w:p>
    <w:p w14:paraId="14C4EB54" w14:textId="77777777" w:rsidR="005922D4" w:rsidRPr="005671CE" w:rsidRDefault="005922D4" w:rsidP="002E05B1">
      <w:pPr>
        <w:spacing w:line="276" w:lineRule="auto"/>
        <w:rPr>
          <w:lang w:val="fr-FR"/>
        </w:rPr>
      </w:pPr>
    </w:p>
    <w:p w14:paraId="6184B068" w14:textId="77777777" w:rsidR="002E05B1" w:rsidRPr="005671CE" w:rsidRDefault="006D3588" w:rsidP="002E05B1">
      <w:pPr>
        <w:spacing w:line="276" w:lineRule="auto"/>
        <w:rPr>
          <w:rFonts w:cs="Arial"/>
          <w:b/>
          <w:szCs w:val="20"/>
          <w:lang w:val="fr-FR"/>
        </w:rPr>
      </w:pPr>
      <w:r>
        <w:rPr>
          <w:rFonts w:eastAsia="Arial" w:cs="Arial"/>
          <w:b/>
          <w:bCs/>
          <w:szCs w:val="20"/>
          <w:lang w:val="fr-FR"/>
        </w:rPr>
        <w:t>TUDOR devient partenaire officiel de la toute nouvelle écurie Visa Cash App RB Formula One Team et l’accompagne vers la pôle position.</w:t>
      </w:r>
    </w:p>
    <w:p w14:paraId="3A707D25" w14:textId="77777777" w:rsidR="002A39FB" w:rsidRPr="005671CE" w:rsidRDefault="002A39FB" w:rsidP="002E05B1">
      <w:pPr>
        <w:rPr>
          <w:rFonts w:cs="Arial"/>
          <w:szCs w:val="20"/>
          <w:lang w:val="fr-FR"/>
        </w:rPr>
      </w:pPr>
    </w:p>
    <w:p w14:paraId="087DB57C" w14:textId="77777777" w:rsidR="002E05B1" w:rsidRPr="005671CE" w:rsidRDefault="006D3588" w:rsidP="002E05B1">
      <w:pPr>
        <w:rPr>
          <w:rFonts w:cs="Arial"/>
          <w:szCs w:val="20"/>
          <w:lang w:val="fr-FR"/>
        </w:rPr>
      </w:pPr>
      <w:r>
        <w:rPr>
          <w:rFonts w:eastAsia="Arial" w:cs="Arial"/>
          <w:szCs w:val="20"/>
          <w:lang w:val="fr-FR"/>
        </w:rPr>
        <w:t xml:space="preserve">TUDOR est présente depuis longtemps sur les circuits. Elle a soutenu des équipes victorieuses pendant l’âge d’or des sports automobiles, en commençant par le Tudor Watch Racing Team à la fin des années 1960 jusqu’au tout récent IMSA TUDOR United SportsCar Championship. En 2024, TUDOR retrouve sa place sur la grille de départ. </w:t>
      </w:r>
    </w:p>
    <w:p w14:paraId="59A7FCA2" w14:textId="77777777" w:rsidR="002E05B1" w:rsidRPr="005671CE" w:rsidRDefault="002E05B1" w:rsidP="002E05B1">
      <w:pPr>
        <w:rPr>
          <w:rFonts w:cs="Arial"/>
          <w:szCs w:val="20"/>
          <w:lang w:val="fr-FR"/>
        </w:rPr>
      </w:pPr>
    </w:p>
    <w:p w14:paraId="1C93C199" w14:textId="5406A491" w:rsidR="002E05B1" w:rsidRPr="005671CE" w:rsidRDefault="006D3588" w:rsidP="002E05B1">
      <w:pPr>
        <w:rPr>
          <w:rFonts w:cs="Arial"/>
          <w:szCs w:val="20"/>
          <w:lang w:val="fr-FR"/>
        </w:rPr>
      </w:pPr>
      <w:bookmarkStart w:id="0" w:name="OLE_LINK12"/>
      <w:bookmarkStart w:id="1" w:name="OLE_LINK10"/>
      <w:r>
        <w:rPr>
          <w:rFonts w:eastAsia="Arial" w:cs="Arial"/>
          <w:szCs w:val="20"/>
          <w:lang w:val="fr-FR"/>
        </w:rPr>
        <w:t xml:space="preserve">Visa Cash App </w:t>
      </w:r>
      <w:bookmarkEnd w:id="0"/>
      <w:r>
        <w:rPr>
          <w:rFonts w:eastAsia="Arial" w:cs="Arial"/>
          <w:szCs w:val="20"/>
          <w:lang w:val="fr-FR"/>
        </w:rPr>
        <w:t>RB</w:t>
      </w:r>
      <w:bookmarkEnd w:id="1"/>
      <w:r>
        <w:rPr>
          <w:rFonts w:eastAsia="Arial" w:cs="Arial"/>
          <w:szCs w:val="20"/>
          <w:lang w:val="fr-FR"/>
        </w:rPr>
        <w:t xml:space="preserve"> est une toute nouvelle équipe de Formula 1® soutenue par TUDOR. Daniel Ricciardo, qui a déjà remporté plusieurs courses, et Yuki Tsunoda, jeune pilote prometteur, seront derrière le volant. L’équipe s’est entièrement réinventée, et pas seulement avec les combinaisons des pilotes aux éclatantes couleurs TUDOR, mais aussi dans tous ses départements : du management à la technique, tous sont dans les stands pour se lancer dans cette nouvelle aventure, la victoire en ligne de mire.</w:t>
      </w:r>
    </w:p>
    <w:p w14:paraId="6B76CFE3" w14:textId="77777777" w:rsidR="002E05B1" w:rsidRPr="005671CE" w:rsidRDefault="002E05B1" w:rsidP="002E05B1">
      <w:pPr>
        <w:rPr>
          <w:rFonts w:cs="Arial"/>
          <w:szCs w:val="20"/>
          <w:lang w:val="fr-FR"/>
        </w:rPr>
      </w:pPr>
    </w:p>
    <w:p w14:paraId="48123857" w14:textId="77777777" w:rsidR="002E05B1" w:rsidRPr="005671CE" w:rsidRDefault="006D3588" w:rsidP="002E05B1">
      <w:pPr>
        <w:rPr>
          <w:rFonts w:cs="Arial"/>
          <w:szCs w:val="20"/>
          <w:lang w:val="fr-FR"/>
        </w:rPr>
      </w:pPr>
      <w:r>
        <w:rPr>
          <w:rFonts w:eastAsia="Arial" w:cs="Arial"/>
          <w:szCs w:val="20"/>
          <w:lang w:val="fr-FR"/>
        </w:rPr>
        <w:t xml:space="preserve">« TUDOR a toujours été animée par un esprit d’audace, une volonté inébranlable de faire les choses différemment », déclare </w:t>
      </w:r>
      <w:r>
        <w:rPr>
          <w:rFonts w:eastAsia="Arial" w:cs="Arial"/>
          <w:b/>
          <w:bCs/>
          <w:szCs w:val="20"/>
          <w:lang w:val="fr-FR"/>
        </w:rPr>
        <w:t>le PDG de TUDOR Éric Pirson.</w:t>
      </w:r>
      <w:r>
        <w:rPr>
          <w:rFonts w:eastAsia="Arial" w:cs="Arial"/>
          <w:szCs w:val="20"/>
          <w:lang w:val="fr-FR"/>
        </w:rPr>
        <w:t xml:space="preserve"> « Cette philosophie, que nous appelons </w:t>
      </w:r>
      <w:r>
        <w:rPr>
          <w:rFonts w:eastAsia="Arial" w:cs="Arial"/>
          <w:i/>
          <w:iCs/>
          <w:szCs w:val="20"/>
          <w:lang w:val="fr-FR"/>
        </w:rPr>
        <w:t>Born To Dare</w:t>
      </w:r>
      <w:r>
        <w:rPr>
          <w:rFonts w:eastAsia="Arial" w:cs="Arial"/>
          <w:szCs w:val="20"/>
          <w:lang w:val="fr-FR"/>
        </w:rPr>
        <w:t xml:space="preserve">, est exactement ce que Visa Cash App RB démontre, à l’approche de la saison de F1 2024. Nous sommes plus qu’enthousiastes à l’idée de revenir aux sports automobiles avec un partenaire à la hauteur du défi », ajoute-t-il. </w:t>
      </w:r>
    </w:p>
    <w:p w14:paraId="7E084BA0" w14:textId="77777777" w:rsidR="002E05B1" w:rsidRPr="005671CE" w:rsidRDefault="002E05B1" w:rsidP="002E05B1">
      <w:pPr>
        <w:rPr>
          <w:rFonts w:cs="Arial"/>
          <w:szCs w:val="20"/>
          <w:lang w:val="fr-FR"/>
        </w:rPr>
      </w:pPr>
    </w:p>
    <w:p w14:paraId="1F4A3A27" w14:textId="77777777" w:rsidR="002E05B1" w:rsidRPr="005671CE" w:rsidRDefault="006D3588" w:rsidP="002E05B1">
      <w:pPr>
        <w:rPr>
          <w:rFonts w:cs="Arial"/>
          <w:szCs w:val="20"/>
          <w:lang w:val="fr-FR"/>
        </w:rPr>
      </w:pPr>
      <w:r>
        <w:rPr>
          <w:rFonts w:eastAsia="Arial" w:cs="Arial"/>
          <w:szCs w:val="20"/>
          <w:lang w:val="fr-FR"/>
        </w:rPr>
        <w:t xml:space="preserve">« Nous sommes ravis d’accueillir TUDOR dans notre équipe. Ses liens avec les sports automobiles remontent jusqu’aux années 1960 lorsqu’elle s’est pour la première fois impliquée dans la course automobile, ainsi que dans les courses historiques et les rallyes », a commenté </w:t>
      </w:r>
      <w:r>
        <w:rPr>
          <w:rFonts w:eastAsia="Arial" w:cs="Arial"/>
          <w:b/>
          <w:bCs/>
          <w:szCs w:val="20"/>
          <w:lang w:val="fr-FR"/>
        </w:rPr>
        <w:t>Peter Bayer, PDG de Visa Cash App RB Formula One Team</w:t>
      </w:r>
      <w:r>
        <w:rPr>
          <w:rFonts w:eastAsia="Arial" w:cs="Arial"/>
          <w:szCs w:val="20"/>
          <w:lang w:val="fr-FR"/>
        </w:rPr>
        <w:t>. « L’entreprise horlogère suisse a saisi l’opportunité de faire route vers le meilleur des sports automobiles, en nous rejoignant alors que nous nous apprêtons à mettre à l’épreuve notre nouvelle identité Visa Cash App RB lors du Formula 1 World Championship 2024. Notre équipe fera basculer le status quo en Formula 1® avec une identité forte, un style unique et une qualité incomparable – tout comme les montres TUDOR. »</w:t>
      </w:r>
    </w:p>
    <w:p w14:paraId="7DA5BBE9" w14:textId="77777777" w:rsidR="002E05B1" w:rsidRPr="005671CE" w:rsidRDefault="002E05B1" w:rsidP="002E05B1">
      <w:pPr>
        <w:rPr>
          <w:rFonts w:cs="Arial"/>
          <w:szCs w:val="20"/>
          <w:lang w:val="fr-FR"/>
        </w:rPr>
      </w:pPr>
    </w:p>
    <w:p w14:paraId="5A26E05D" w14:textId="77777777" w:rsidR="002E05B1" w:rsidRPr="005671CE" w:rsidRDefault="006D3588" w:rsidP="002E05B1">
      <w:pPr>
        <w:rPr>
          <w:rFonts w:cs="Arial"/>
          <w:szCs w:val="20"/>
          <w:lang w:val="fr-FR"/>
        </w:rPr>
      </w:pPr>
      <w:r>
        <w:rPr>
          <w:rFonts w:eastAsia="Arial" w:cs="Arial"/>
          <w:szCs w:val="20"/>
          <w:lang w:val="fr-FR"/>
        </w:rPr>
        <w:t xml:space="preserve">TUDOR fait les choses à sa façon. </w:t>
      </w:r>
      <w:r w:rsidRPr="005671CE">
        <w:rPr>
          <w:rFonts w:eastAsia="Arial" w:cs="Arial"/>
          <w:szCs w:val="20"/>
          <w:lang w:val="en-US"/>
        </w:rPr>
        <w:t xml:space="preserve">C’est cela être « Born To Dare ». </w:t>
      </w:r>
      <w:r>
        <w:rPr>
          <w:rFonts w:eastAsia="Arial" w:cs="Arial"/>
          <w:szCs w:val="20"/>
          <w:lang w:val="fr-FR"/>
        </w:rPr>
        <w:t xml:space="preserve">C’est cela qu’illustre le nouveau partenariat Visa Cash App RB. Il est facile d’inscrire « TUDOR » sur la voiture gagnante. Mais choisir la </w:t>
      </w:r>
      <w:r>
        <w:rPr>
          <w:rFonts w:eastAsia="Arial" w:cs="Arial"/>
          <w:i/>
          <w:iCs/>
          <w:szCs w:val="20"/>
          <w:lang w:val="fr-FR"/>
        </w:rPr>
        <w:t>bonne</w:t>
      </w:r>
      <w:r>
        <w:rPr>
          <w:rFonts w:eastAsia="Arial" w:cs="Arial"/>
          <w:szCs w:val="20"/>
          <w:lang w:val="fr-FR"/>
        </w:rPr>
        <w:t xml:space="preserve"> équipe à soutenir est une autre histoire. L’équipe prometteuse, audacieuse, prête à tout. L’équipe prête à relever le défi de la remontée. C’est la raison pour laquelle TUDOR a choisi Visa Cash App RB. Faire les choses « à la TUDOR » c’est tout donner, relever le défi et oser la nouveauté. </w:t>
      </w:r>
    </w:p>
    <w:p w14:paraId="207A4068" w14:textId="77777777" w:rsidR="002E05B1" w:rsidRPr="005671CE" w:rsidRDefault="002E05B1" w:rsidP="002E05B1">
      <w:pPr>
        <w:rPr>
          <w:rFonts w:cs="Arial"/>
          <w:szCs w:val="20"/>
          <w:lang w:val="fr-FR"/>
        </w:rPr>
      </w:pPr>
    </w:p>
    <w:p w14:paraId="0D05897C" w14:textId="77777777" w:rsidR="002E05B1" w:rsidRPr="005671CE" w:rsidRDefault="006D3588" w:rsidP="002E05B1">
      <w:pPr>
        <w:rPr>
          <w:rFonts w:cs="Arial"/>
          <w:szCs w:val="20"/>
          <w:lang w:val="fr-FR"/>
        </w:rPr>
      </w:pPr>
      <w:r>
        <w:rPr>
          <w:rFonts w:eastAsia="Arial" w:cs="Arial"/>
          <w:szCs w:val="20"/>
          <w:lang w:val="fr-FR"/>
        </w:rPr>
        <w:t xml:space="preserve">TUDOR fonce à toute vitesse vers la saison 2024 de Formula 1® avec Visa Cash App RB Formula One Team. </w:t>
      </w:r>
    </w:p>
    <w:p w14:paraId="28781A43" w14:textId="77777777" w:rsidR="002E05B1" w:rsidRPr="005671CE" w:rsidRDefault="002E05B1" w:rsidP="002E05B1">
      <w:pPr>
        <w:pStyle w:val="Corpsdetexte"/>
        <w:spacing w:line="264" w:lineRule="auto"/>
        <w:rPr>
          <w:rFonts w:ascii="Arial" w:eastAsiaTheme="minorHAnsi" w:hAnsi="Arial" w:cs="Arial"/>
          <w:b/>
          <w:kern w:val="0"/>
          <w:sz w:val="20"/>
          <w:szCs w:val="20"/>
          <w:lang w:eastAsia="en-US" w:bidi="ar-SA"/>
        </w:rPr>
      </w:pPr>
    </w:p>
    <w:p w14:paraId="2294495E" w14:textId="77777777" w:rsidR="002E05B1" w:rsidRPr="005671CE" w:rsidRDefault="006D3588" w:rsidP="002E05B1">
      <w:pPr>
        <w:pStyle w:val="Corpsdetexte"/>
        <w:spacing w:line="264" w:lineRule="auto"/>
        <w:rPr>
          <w:rFonts w:ascii="Arial" w:eastAsiaTheme="minorHAnsi" w:hAnsi="Arial" w:cs="Arial"/>
          <w:b/>
          <w:kern w:val="0"/>
          <w:sz w:val="20"/>
          <w:szCs w:val="20"/>
          <w:lang w:eastAsia="en-US" w:bidi="ar-SA"/>
        </w:rPr>
      </w:pPr>
      <w:r>
        <w:rPr>
          <w:rFonts w:ascii="Arial" w:eastAsia="Arial" w:hAnsi="Arial" w:cs="Arial"/>
          <w:b/>
          <w:bCs/>
          <w:kern w:val="0"/>
          <w:sz w:val="20"/>
          <w:szCs w:val="20"/>
          <w:lang w:eastAsia="en-US" w:bidi="ar-SA"/>
        </w:rPr>
        <w:t>À PROPOS DE TUDOR</w:t>
      </w:r>
    </w:p>
    <w:p w14:paraId="2DCF6A80" w14:textId="77777777" w:rsidR="002E05B1" w:rsidRPr="005671CE" w:rsidRDefault="006D3588" w:rsidP="002E05B1">
      <w:pPr>
        <w:pStyle w:val="Corpsdetexte"/>
        <w:spacing w:line="264" w:lineRule="auto"/>
        <w:rPr>
          <w:rFonts w:ascii="Arial" w:hAnsi="Arial" w:cs="Arial"/>
          <w:bCs/>
          <w:kern w:val="2"/>
          <w:sz w:val="20"/>
          <w:szCs w:val="20"/>
        </w:rPr>
      </w:pPr>
      <w:r>
        <w:rPr>
          <w:rFonts w:ascii="Arial" w:eastAsia="Arial" w:hAnsi="Arial" w:cs="Arial"/>
          <w:bCs/>
          <w:kern w:val="0"/>
          <w:sz w:val="20"/>
          <w:szCs w:val="20"/>
          <w:lang w:eastAsia="en-US" w:bidi="ar-SA"/>
        </w:rPr>
        <w:t xml:space="preserve">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w:t>
      </w:r>
      <w:r>
        <w:rPr>
          <w:rFonts w:ascii="Arial" w:eastAsia="Arial" w:hAnsi="Arial" w:cs="Arial"/>
          <w:bCs/>
          <w:kern w:val="0"/>
          <w:sz w:val="20"/>
          <w:szCs w:val="20"/>
          <w:lang w:eastAsia="en-US" w:bidi="ar-SA"/>
        </w:rPr>
        <w:lastRenderedPageBreak/>
        <w:t>supérieures.</w:t>
      </w:r>
    </w:p>
    <w:p w14:paraId="093571B1" w14:textId="77777777" w:rsidR="002E05B1" w:rsidRPr="005671CE" w:rsidRDefault="002E05B1" w:rsidP="002E05B1">
      <w:pPr>
        <w:pStyle w:val="Corpsdetexte"/>
        <w:spacing w:line="264" w:lineRule="auto"/>
        <w:rPr>
          <w:rFonts w:ascii="Arial" w:hAnsi="Arial" w:cs="Arial"/>
          <w:b/>
          <w:sz w:val="20"/>
          <w:szCs w:val="20"/>
        </w:rPr>
      </w:pPr>
    </w:p>
    <w:p w14:paraId="625747D3" w14:textId="77777777" w:rsidR="002E05B1" w:rsidRPr="005671CE" w:rsidRDefault="006D3588" w:rsidP="002E05B1">
      <w:pPr>
        <w:pStyle w:val="Corpsdetexte"/>
        <w:spacing w:line="264" w:lineRule="auto"/>
        <w:rPr>
          <w:rFonts w:ascii="Arial" w:eastAsiaTheme="minorHAnsi" w:hAnsi="Arial" w:cs="Arial"/>
          <w:b/>
          <w:kern w:val="0"/>
          <w:sz w:val="20"/>
          <w:szCs w:val="20"/>
          <w:lang w:eastAsia="en-US" w:bidi="ar-SA"/>
        </w:rPr>
      </w:pPr>
      <w:r>
        <w:rPr>
          <w:rFonts w:ascii="Arial" w:eastAsia="Arial" w:hAnsi="Arial" w:cs="Arial"/>
          <w:b/>
          <w:bCs/>
          <w:kern w:val="0"/>
          <w:sz w:val="20"/>
          <w:szCs w:val="20"/>
          <w:lang w:eastAsia="en-US" w:bidi="ar-SA"/>
        </w:rPr>
        <w:t>TUDOR EST BORN TO DARE</w:t>
      </w:r>
    </w:p>
    <w:p w14:paraId="496B5027" w14:textId="77777777" w:rsidR="002E05B1" w:rsidRPr="005671CE" w:rsidRDefault="006D3588" w:rsidP="002E05B1">
      <w:pPr>
        <w:pStyle w:val="Corpsdetexte"/>
        <w:spacing w:line="264" w:lineRule="auto"/>
        <w:rPr>
          <w:rFonts w:ascii="Arial" w:eastAsiaTheme="minorHAnsi" w:hAnsi="Arial" w:cs="Arial"/>
          <w:bCs/>
          <w:kern w:val="0"/>
          <w:sz w:val="20"/>
          <w:szCs w:val="20"/>
          <w:lang w:eastAsia="en-US" w:bidi="ar-SA"/>
        </w:rPr>
      </w:pPr>
      <w:r>
        <w:rPr>
          <w:rFonts w:ascii="Arial" w:eastAsia="Arial" w:hAnsi="Arial" w:cs="Arial"/>
          <w:bCs/>
          <w:kern w:val="0"/>
          <w:sz w:val="20"/>
          <w:szCs w:val="20"/>
          <w:lang w:eastAsia="en-US" w:bidi="ar-SA"/>
        </w:rPr>
        <w:t>En 2017, TUDOR a lancé une nouvelle campagne avec « Born To Dare » comme signature. 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Wilsdorf, pour qui une montre devait être capable de résister aux conditions les plus extrêmes, aux styles de vie les plus audacieux. Born To Dare est également l’illustration même de l’approche horlogère unique de TUDOR, qui a fait de la marque ce qu’elle est aujourd’hui. À la pointe de l’industrie horlogère, ses innovations en sont désormais des références incontournables. L’esprit Born To Dare de TUDOR est représenté dans le monde entier par des ambassadeurs de premier plan, dont la réussite exceptionnelle est indéniablement le fruit d’une audace peu commune.</w:t>
      </w:r>
    </w:p>
    <w:p w14:paraId="34EED497" w14:textId="77777777" w:rsidR="002E05B1" w:rsidRPr="005671CE" w:rsidRDefault="002E05B1" w:rsidP="002E05B1">
      <w:pPr>
        <w:pStyle w:val="Corpsdetexte"/>
        <w:spacing w:line="264" w:lineRule="auto"/>
        <w:rPr>
          <w:rFonts w:ascii="Arial" w:eastAsiaTheme="minorHAnsi" w:hAnsi="Arial" w:cs="Arial"/>
          <w:bCs/>
          <w:kern w:val="0"/>
          <w:sz w:val="20"/>
          <w:szCs w:val="20"/>
          <w:lang w:eastAsia="en-US" w:bidi="ar-SA"/>
        </w:rPr>
      </w:pPr>
    </w:p>
    <w:p w14:paraId="495E7853" w14:textId="77777777" w:rsidR="002E05B1" w:rsidRPr="005671CE" w:rsidRDefault="006D3588" w:rsidP="002E05B1">
      <w:pPr>
        <w:pStyle w:val="Corpsdetexte"/>
        <w:spacing w:line="264" w:lineRule="auto"/>
        <w:rPr>
          <w:rFonts w:ascii="Arial" w:eastAsiaTheme="minorHAnsi" w:hAnsi="Arial" w:cs="Arial"/>
          <w:b/>
          <w:kern w:val="0"/>
          <w:sz w:val="20"/>
          <w:szCs w:val="20"/>
          <w:lang w:eastAsia="en-US" w:bidi="ar-SA"/>
        </w:rPr>
      </w:pPr>
      <w:r>
        <w:rPr>
          <w:rFonts w:ascii="Arial" w:eastAsia="Arial" w:hAnsi="Arial" w:cs="Arial"/>
          <w:b/>
          <w:bCs/>
          <w:kern w:val="0"/>
          <w:sz w:val="20"/>
          <w:szCs w:val="20"/>
          <w:lang w:eastAsia="en-US" w:bidi="ar-SA"/>
        </w:rPr>
        <w:t xml:space="preserve">VISA CASH APP RB : </w:t>
      </w:r>
    </w:p>
    <w:p w14:paraId="483AEF54" w14:textId="77777777" w:rsidR="002E05B1" w:rsidRPr="005671CE" w:rsidRDefault="006D3588" w:rsidP="002E05B1">
      <w:pPr>
        <w:pStyle w:val="Corpsdetexte"/>
        <w:spacing w:line="264" w:lineRule="auto"/>
        <w:rPr>
          <w:rFonts w:ascii="Arial" w:eastAsiaTheme="minorHAnsi" w:hAnsi="Arial" w:cs="Arial"/>
          <w:bCs/>
          <w:kern w:val="0"/>
          <w:sz w:val="20"/>
          <w:szCs w:val="20"/>
          <w:lang w:eastAsia="en-US" w:bidi="ar-SA"/>
        </w:rPr>
      </w:pPr>
      <w:r>
        <w:rPr>
          <w:rFonts w:ascii="Arial" w:eastAsia="Arial" w:hAnsi="Arial" w:cs="Arial"/>
          <w:bCs/>
          <w:kern w:val="0"/>
          <w:sz w:val="20"/>
          <w:szCs w:val="20"/>
          <w:lang w:eastAsia="en-US" w:bidi="ar-SA"/>
        </w:rPr>
        <w:t xml:space="preserve">Avec plus de 350 départs en course, l'équipe italienne de Formula 1® de Red Bull est l'une des écuries les plus prestigieuses et les plus constantes depuis 2006. </w:t>
      </w:r>
    </w:p>
    <w:p w14:paraId="17FC47EE" w14:textId="77777777" w:rsidR="002E05B1" w:rsidRPr="005671CE" w:rsidRDefault="006D3588" w:rsidP="002E05B1">
      <w:pPr>
        <w:pStyle w:val="Corpsdetexte"/>
        <w:spacing w:line="264" w:lineRule="auto"/>
        <w:rPr>
          <w:rFonts w:ascii="Arial" w:eastAsiaTheme="minorHAnsi" w:hAnsi="Arial" w:cs="Arial"/>
          <w:bCs/>
          <w:kern w:val="0"/>
          <w:sz w:val="20"/>
          <w:szCs w:val="20"/>
          <w:lang w:eastAsia="en-US" w:bidi="ar-SA"/>
        </w:rPr>
      </w:pPr>
      <w:r>
        <w:rPr>
          <w:rFonts w:ascii="Arial" w:eastAsia="Arial" w:hAnsi="Arial" w:cs="Arial"/>
          <w:bCs/>
          <w:kern w:val="0"/>
          <w:sz w:val="20"/>
          <w:szCs w:val="20"/>
          <w:lang w:eastAsia="en-US" w:bidi="ar-SA"/>
        </w:rPr>
        <w:t>Lancée sous le nom de Scuderia Toro Rosso avec pour ambition de placer de futurs champions sur la grille de départ, elle aura contribué à lancer les carrières de haut niveau d'une génération de pilotes qui ont remporté des courses et des championnats internationaux de Formula 1®, entre autres. Le succès s'est poursuivi après le changement de nom de l'équipe en 2020 en Scuderia AlphaTauri, avec une victoire au Grand Prix d'Italie dès sa première saison. Elle renaît sous le nom de Visa Cash App RB pour se battre pour les podiums en se plaçant sur la ligne de départ d’une nouvelle ère de compétition, au sommet des sports autombiles.</w:t>
      </w:r>
    </w:p>
    <w:p w14:paraId="446023D7" w14:textId="77777777" w:rsidR="002E05B1" w:rsidRPr="005671CE" w:rsidRDefault="002E05B1" w:rsidP="007033D9">
      <w:pPr>
        <w:rPr>
          <w:rFonts w:cs="Arial"/>
          <w:szCs w:val="20"/>
          <w:lang w:val="fr-FR"/>
        </w:rPr>
      </w:pPr>
    </w:p>
    <w:p w14:paraId="374BD9A8" w14:textId="77777777" w:rsidR="003A050B" w:rsidRPr="005671CE" w:rsidRDefault="003A050B" w:rsidP="000C297A">
      <w:pPr>
        <w:jc w:val="both"/>
        <w:rPr>
          <w:rFonts w:cs="Arial"/>
          <w:bCs/>
          <w:szCs w:val="20"/>
          <w:lang w:val="fr-FR"/>
        </w:rPr>
      </w:pPr>
    </w:p>
    <w:sectPr w:rsidR="003A050B" w:rsidRPr="005671CE" w:rsidSect="005671CE">
      <w:headerReference w:type="default" r:id="rId11"/>
      <w:footerReference w:type="default" r:id="rId12"/>
      <w:headerReference w:type="first" r:id="rId13"/>
      <w:footerReference w:type="first" r:id="rId14"/>
      <w:pgSz w:w="11906" w:h="16838" w:code="9"/>
      <w:pgMar w:top="2410" w:right="1134" w:bottom="1276" w:left="851" w:header="624"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6A11" w14:textId="77777777" w:rsidR="006D3588" w:rsidRDefault="006D3588">
      <w:pPr>
        <w:spacing w:line="240" w:lineRule="auto"/>
      </w:pPr>
      <w:r>
        <w:separator/>
      </w:r>
    </w:p>
  </w:endnote>
  <w:endnote w:type="continuationSeparator" w:id="0">
    <w:p w14:paraId="0FE721F2" w14:textId="77777777" w:rsidR="006D3588" w:rsidRDefault="006D3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14A6" w14:textId="77777777" w:rsidR="00D47BCE" w:rsidRPr="003A050B" w:rsidRDefault="006D3588" w:rsidP="00460145">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0288" behindDoc="0" locked="0" layoutInCell="1" allowOverlap="1" wp14:anchorId="0F28261B" wp14:editId="124A97E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sidRPr="003A050B">
      <w:rPr>
        <w:noProof/>
        <w:lang w:eastAsia="en-SG"/>
      </w:rPr>
      <w:drawing>
        <wp:inline distT="0" distB="0" distL="0" distR="0" wp14:anchorId="52B328D4" wp14:editId="7EDA7791">
          <wp:extent cx="444317" cy="252000"/>
          <wp:effectExtent l="0" t="0" r="0" b="0"/>
          <wp:docPr id="8"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Cordia New"/>
        <w:szCs w:val="20"/>
        <w:lang w:val="fr-FR"/>
      </w:rPr>
      <w:tab/>
    </w:r>
    <w:r w:rsidRPr="003A050B">
      <w:rPr>
        <w:noProof/>
        <w:lang w:eastAsia="en-SG"/>
      </w:rPr>
      <w:drawing>
        <wp:inline distT="0" distB="0" distL="0" distR="0" wp14:anchorId="238282D2" wp14:editId="60E17CB1">
          <wp:extent cx="127000" cy="182880"/>
          <wp:effectExtent l="0" t="0" r="6350" b="7620"/>
          <wp:docPr id="9"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Cordia New"/>
        <w:szCs w:val="20"/>
        <w:lang w:val="fr-FR"/>
      </w:rPr>
      <w:tab/>
    </w:r>
    <w:r w:rsidRPr="003A050B">
      <w:rPr>
        <w:color w:val="808080" w:themeColor="background1" w:themeShade="80"/>
      </w:rPr>
      <w:fldChar w:fldCharType="begin"/>
    </w:r>
    <w:r w:rsidRPr="003A050B">
      <w:rPr>
        <w:color w:val="808080" w:themeColor="background1" w:themeShade="80"/>
      </w:rPr>
      <w:instrText>PAGE   \* MERGEFORMAT</w:instrText>
    </w:r>
    <w:r w:rsidRPr="003A050B">
      <w:rPr>
        <w:color w:val="808080" w:themeColor="background1" w:themeShade="80"/>
      </w:rPr>
      <w:fldChar w:fldCharType="separate"/>
    </w:r>
    <w:r w:rsidR="00C7075F">
      <w:rPr>
        <w:noProof/>
        <w:color w:val="808080" w:themeColor="background1" w:themeShade="80"/>
      </w:rPr>
      <w:t>2</w:t>
    </w:r>
    <w:r w:rsidRPr="003A050B">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E372" w14:textId="77777777" w:rsidR="007407FE" w:rsidRPr="003A050B" w:rsidRDefault="006D3588" w:rsidP="00672BA1">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58240" behindDoc="0" locked="0" layoutInCell="1" allowOverlap="1" wp14:anchorId="53D93679" wp14:editId="4F0BAEA0">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sidRPr="003A050B">
      <w:rPr>
        <w:noProof/>
        <w:lang w:eastAsia="en-SG"/>
      </w:rPr>
      <w:drawing>
        <wp:inline distT="0" distB="0" distL="0" distR="0" wp14:anchorId="0E3714D5" wp14:editId="5EFFD9EF">
          <wp:extent cx="444317" cy="252000"/>
          <wp:effectExtent l="0" t="0" r="0" b="0"/>
          <wp:docPr id="11"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9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Cordia New"/>
        <w:szCs w:val="20"/>
        <w:lang w:val="fr-FR"/>
      </w:rPr>
      <w:tab/>
    </w:r>
    <w:r w:rsidR="00672BA1" w:rsidRPr="003A050B">
      <w:rPr>
        <w:noProof/>
        <w:lang w:eastAsia="en-SG"/>
      </w:rPr>
      <w:drawing>
        <wp:inline distT="0" distB="0" distL="0" distR="0" wp14:anchorId="5991B4F4" wp14:editId="45D7D2FA">
          <wp:extent cx="127000" cy="182880"/>
          <wp:effectExtent l="0" t="0" r="6350" b="7620"/>
          <wp:docPr id="12"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Cordia New"/>
        <w:szCs w:val="20"/>
        <w:lang w:val="fr-FR"/>
      </w:rPr>
      <w:tab/>
    </w:r>
    <w:r w:rsidR="0016103F" w:rsidRPr="003A050B">
      <w:rPr>
        <w:color w:val="808080" w:themeColor="background1" w:themeShade="80"/>
      </w:rPr>
      <w:fldChar w:fldCharType="begin"/>
    </w:r>
    <w:r w:rsidR="0016103F" w:rsidRPr="003A050B">
      <w:rPr>
        <w:color w:val="808080" w:themeColor="background1" w:themeShade="80"/>
      </w:rPr>
      <w:instrText>PAGE   \* MERGEFORMAT</w:instrText>
    </w:r>
    <w:r w:rsidR="0016103F" w:rsidRPr="003A050B">
      <w:rPr>
        <w:color w:val="808080" w:themeColor="background1" w:themeShade="80"/>
      </w:rPr>
      <w:fldChar w:fldCharType="separate"/>
    </w:r>
    <w:r w:rsidR="00C7075F">
      <w:rPr>
        <w:noProof/>
        <w:color w:val="808080" w:themeColor="background1" w:themeShade="80"/>
      </w:rPr>
      <w:t>1</w:t>
    </w:r>
    <w:r w:rsidR="0016103F" w:rsidRPr="003A050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3A7F" w14:textId="77777777" w:rsidR="006D3588" w:rsidRDefault="006D3588">
      <w:pPr>
        <w:spacing w:line="240" w:lineRule="auto"/>
      </w:pPr>
      <w:r>
        <w:separator/>
      </w:r>
    </w:p>
  </w:footnote>
  <w:footnote w:type="continuationSeparator" w:id="0">
    <w:p w14:paraId="5068558E" w14:textId="77777777" w:rsidR="006D3588" w:rsidRDefault="006D3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7A46" w14:textId="77777777" w:rsidR="00D47BCE" w:rsidRPr="003A050B" w:rsidRDefault="006D3588" w:rsidP="00D47BCE">
    <w:pPr>
      <w:pStyle w:val="En-tte"/>
      <w:jc w:val="center"/>
    </w:pPr>
    <w:r w:rsidRPr="003A050B">
      <w:rPr>
        <w:noProof/>
        <w:lang w:eastAsia="en-SG"/>
      </w:rPr>
      <w:drawing>
        <wp:inline distT="0" distB="0" distL="0" distR="0" wp14:anchorId="1B280297" wp14:editId="68F80D6E">
          <wp:extent cx="1371600" cy="762000"/>
          <wp:effectExtent l="0" t="0" r="0" b="0"/>
          <wp:docPr id="7"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5576" w14:textId="77777777" w:rsidR="007407FE" w:rsidRPr="003A050B" w:rsidRDefault="006D3588" w:rsidP="007407FE">
    <w:pPr>
      <w:pStyle w:val="En-tte"/>
      <w:jc w:val="center"/>
    </w:pPr>
    <w:r w:rsidRPr="003A050B">
      <w:rPr>
        <w:noProof/>
        <w:lang w:eastAsia="en-SG"/>
      </w:rPr>
      <w:drawing>
        <wp:inline distT="0" distB="0" distL="0" distR="0" wp14:anchorId="45797A4D" wp14:editId="6055BA4E">
          <wp:extent cx="1371600" cy="762000"/>
          <wp:effectExtent l="0" t="0" r="0" b="0"/>
          <wp:docPr id="10"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2D16C54" w14:textId="77777777" w:rsidR="007407FE" w:rsidRPr="003A050B" w:rsidRDefault="007407FE" w:rsidP="007407FE">
    <w:pPr>
      <w:pStyle w:val="En-tte"/>
    </w:pPr>
  </w:p>
  <w:p w14:paraId="2735B1E7" w14:textId="77777777" w:rsidR="007407FE" w:rsidRPr="003A050B" w:rsidRDefault="007407FE" w:rsidP="007407FE">
    <w:pPr>
      <w:pStyle w:val="En-tte"/>
    </w:pPr>
  </w:p>
  <w:p w14:paraId="51F6A729" w14:textId="77777777" w:rsidR="007407FE" w:rsidRPr="003A050B" w:rsidRDefault="007407FE" w:rsidP="007407FE">
    <w:pPr>
      <w:pStyle w:val="En-tte"/>
    </w:pPr>
  </w:p>
  <w:p w14:paraId="7E77AB3B" w14:textId="77777777" w:rsidR="00B41716" w:rsidRPr="003A050B" w:rsidRDefault="006D3588" w:rsidP="00306CFE">
    <w:pPr>
      <w:pStyle w:val="EN-TTE0"/>
    </w:pPr>
    <w:r>
      <w:rPr>
        <w:rFonts w:eastAsia="Arial" w:cs="Cordia New"/>
        <w:color w:val="808080"/>
        <w:szCs w:val="20"/>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BDF60796">
      <w:start w:val="1"/>
      <w:numFmt w:val="decimal"/>
      <w:lvlText w:val="%1."/>
      <w:lvlJc w:val="left"/>
      <w:pPr>
        <w:ind w:left="360" w:hanging="360"/>
      </w:pPr>
    </w:lvl>
    <w:lvl w:ilvl="1" w:tplc="8562AA60" w:tentative="1">
      <w:start w:val="1"/>
      <w:numFmt w:val="lowerLetter"/>
      <w:lvlText w:val="%2."/>
      <w:lvlJc w:val="left"/>
      <w:pPr>
        <w:ind w:left="1080" w:hanging="360"/>
      </w:pPr>
    </w:lvl>
    <w:lvl w:ilvl="2" w:tplc="D67AAF56" w:tentative="1">
      <w:start w:val="1"/>
      <w:numFmt w:val="lowerRoman"/>
      <w:lvlText w:val="%3."/>
      <w:lvlJc w:val="right"/>
      <w:pPr>
        <w:ind w:left="1800" w:hanging="180"/>
      </w:pPr>
    </w:lvl>
    <w:lvl w:ilvl="3" w:tplc="EEFE0528" w:tentative="1">
      <w:start w:val="1"/>
      <w:numFmt w:val="decimal"/>
      <w:lvlText w:val="%4."/>
      <w:lvlJc w:val="left"/>
      <w:pPr>
        <w:ind w:left="2520" w:hanging="360"/>
      </w:pPr>
    </w:lvl>
    <w:lvl w:ilvl="4" w:tplc="2CB810A6" w:tentative="1">
      <w:start w:val="1"/>
      <w:numFmt w:val="lowerLetter"/>
      <w:lvlText w:val="%5."/>
      <w:lvlJc w:val="left"/>
      <w:pPr>
        <w:ind w:left="3240" w:hanging="360"/>
      </w:pPr>
    </w:lvl>
    <w:lvl w:ilvl="5" w:tplc="F9FCE126" w:tentative="1">
      <w:start w:val="1"/>
      <w:numFmt w:val="lowerRoman"/>
      <w:lvlText w:val="%6."/>
      <w:lvlJc w:val="right"/>
      <w:pPr>
        <w:ind w:left="3960" w:hanging="180"/>
      </w:pPr>
    </w:lvl>
    <w:lvl w:ilvl="6" w:tplc="1D2EDB0E" w:tentative="1">
      <w:start w:val="1"/>
      <w:numFmt w:val="decimal"/>
      <w:lvlText w:val="%7."/>
      <w:lvlJc w:val="left"/>
      <w:pPr>
        <w:ind w:left="4680" w:hanging="360"/>
      </w:pPr>
    </w:lvl>
    <w:lvl w:ilvl="7" w:tplc="3822F90A" w:tentative="1">
      <w:start w:val="1"/>
      <w:numFmt w:val="lowerLetter"/>
      <w:lvlText w:val="%8."/>
      <w:lvlJc w:val="left"/>
      <w:pPr>
        <w:ind w:left="5400" w:hanging="360"/>
      </w:pPr>
    </w:lvl>
    <w:lvl w:ilvl="8" w:tplc="772E9A98"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30A6BCF2">
      <w:start w:val="1"/>
      <w:numFmt w:val="decimal"/>
      <w:lvlText w:val="%1."/>
      <w:lvlJc w:val="left"/>
      <w:pPr>
        <w:ind w:left="360" w:hanging="360"/>
      </w:pPr>
    </w:lvl>
    <w:lvl w:ilvl="1" w:tplc="40428EFA" w:tentative="1">
      <w:start w:val="1"/>
      <w:numFmt w:val="lowerLetter"/>
      <w:lvlText w:val="%2."/>
      <w:lvlJc w:val="left"/>
      <w:pPr>
        <w:ind w:left="1080" w:hanging="360"/>
      </w:pPr>
    </w:lvl>
    <w:lvl w:ilvl="2" w:tplc="AE406206" w:tentative="1">
      <w:start w:val="1"/>
      <w:numFmt w:val="lowerRoman"/>
      <w:lvlText w:val="%3."/>
      <w:lvlJc w:val="right"/>
      <w:pPr>
        <w:ind w:left="1800" w:hanging="180"/>
      </w:pPr>
    </w:lvl>
    <w:lvl w:ilvl="3" w:tplc="0D5015E2" w:tentative="1">
      <w:start w:val="1"/>
      <w:numFmt w:val="decimal"/>
      <w:lvlText w:val="%4."/>
      <w:lvlJc w:val="left"/>
      <w:pPr>
        <w:ind w:left="2520" w:hanging="360"/>
      </w:pPr>
    </w:lvl>
    <w:lvl w:ilvl="4" w:tplc="C56C7770" w:tentative="1">
      <w:start w:val="1"/>
      <w:numFmt w:val="lowerLetter"/>
      <w:lvlText w:val="%5."/>
      <w:lvlJc w:val="left"/>
      <w:pPr>
        <w:ind w:left="3240" w:hanging="360"/>
      </w:pPr>
    </w:lvl>
    <w:lvl w:ilvl="5" w:tplc="A684A002" w:tentative="1">
      <w:start w:val="1"/>
      <w:numFmt w:val="lowerRoman"/>
      <w:lvlText w:val="%6."/>
      <w:lvlJc w:val="right"/>
      <w:pPr>
        <w:ind w:left="3960" w:hanging="180"/>
      </w:pPr>
    </w:lvl>
    <w:lvl w:ilvl="6" w:tplc="D66808FE" w:tentative="1">
      <w:start w:val="1"/>
      <w:numFmt w:val="decimal"/>
      <w:lvlText w:val="%7."/>
      <w:lvlJc w:val="left"/>
      <w:pPr>
        <w:ind w:left="4680" w:hanging="360"/>
      </w:pPr>
    </w:lvl>
    <w:lvl w:ilvl="7" w:tplc="369C8044" w:tentative="1">
      <w:start w:val="1"/>
      <w:numFmt w:val="lowerLetter"/>
      <w:lvlText w:val="%8."/>
      <w:lvlJc w:val="left"/>
      <w:pPr>
        <w:ind w:left="5400" w:hanging="360"/>
      </w:pPr>
    </w:lvl>
    <w:lvl w:ilvl="8" w:tplc="1DB2A240"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EF4AA5CA">
      <w:start w:val="1"/>
      <w:numFmt w:val="decimal"/>
      <w:lvlText w:val="%1."/>
      <w:lvlJc w:val="left"/>
      <w:pPr>
        <w:ind w:left="360" w:hanging="360"/>
      </w:pPr>
    </w:lvl>
    <w:lvl w:ilvl="1" w:tplc="D6B67B8E" w:tentative="1">
      <w:start w:val="1"/>
      <w:numFmt w:val="lowerLetter"/>
      <w:lvlText w:val="%2."/>
      <w:lvlJc w:val="left"/>
      <w:pPr>
        <w:ind w:left="1080" w:hanging="360"/>
      </w:pPr>
    </w:lvl>
    <w:lvl w:ilvl="2" w:tplc="7C10043C" w:tentative="1">
      <w:start w:val="1"/>
      <w:numFmt w:val="lowerRoman"/>
      <w:lvlText w:val="%3."/>
      <w:lvlJc w:val="right"/>
      <w:pPr>
        <w:ind w:left="1800" w:hanging="180"/>
      </w:pPr>
    </w:lvl>
    <w:lvl w:ilvl="3" w:tplc="C8644762" w:tentative="1">
      <w:start w:val="1"/>
      <w:numFmt w:val="decimal"/>
      <w:lvlText w:val="%4."/>
      <w:lvlJc w:val="left"/>
      <w:pPr>
        <w:ind w:left="2520" w:hanging="360"/>
      </w:pPr>
    </w:lvl>
    <w:lvl w:ilvl="4" w:tplc="D6DA1184" w:tentative="1">
      <w:start w:val="1"/>
      <w:numFmt w:val="lowerLetter"/>
      <w:lvlText w:val="%5."/>
      <w:lvlJc w:val="left"/>
      <w:pPr>
        <w:ind w:left="3240" w:hanging="360"/>
      </w:pPr>
    </w:lvl>
    <w:lvl w:ilvl="5" w:tplc="35486DDE" w:tentative="1">
      <w:start w:val="1"/>
      <w:numFmt w:val="lowerRoman"/>
      <w:lvlText w:val="%6."/>
      <w:lvlJc w:val="right"/>
      <w:pPr>
        <w:ind w:left="3960" w:hanging="180"/>
      </w:pPr>
    </w:lvl>
    <w:lvl w:ilvl="6" w:tplc="62E09CE6" w:tentative="1">
      <w:start w:val="1"/>
      <w:numFmt w:val="decimal"/>
      <w:lvlText w:val="%7."/>
      <w:lvlJc w:val="left"/>
      <w:pPr>
        <w:ind w:left="4680" w:hanging="360"/>
      </w:pPr>
    </w:lvl>
    <w:lvl w:ilvl="7" w:tplc="9E5A7A62" w:tentative="1">
      <w:start w:val="1"/>
      <w:numFmt w:val="lowerLetter"/>
      <w:lvlText w:val="%8."/>
      <w:lvlJc w:val="left"/>
      <w:pPr>
        <w:ind w:left="5400" w:hanging="360"/>
      </w:pPr>
    </w:lvl>
    <w:lvl w:ilvl="8" w:tplc="83B42FA4"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8CAE8848">
      <w:start w:val="1"/>
      <w:numFmt w:val="decimal"/>
      <w:lvlText w:val="%1."/>
      <w:lvlJc w:val="left"/>
      <w:pPr>
        <w:ind w:left="360" w:hanging="360"/>
      </w:pPr>
    </w:lvl>
    <w:lvl w:ilvl="1" w:tplc="AE207B6C" w:tentative="1">
      <w:start w:val="1"/>
      <w:numFmt w:val="lowerLetter"/>
      <w:lvlText w:val="%2."/>
      <w:lvlJc w:val="left"/>
      <w:pPr>
        <w:ind w:left="1080" w:hanging="360"/>
      </w:pPr>
    </w:lvl>
    <w:lvl w:ilvl="2" w:tplc="5886826A" w:tentative="1">
      <w:start w:val="1"/>
      <w:numFmt w:val="lowerRoman"/>
      <w:lvlText w:val="%3."/>
      <w:lvlJc w:val="right"/>
      <w:pPr>
        <w:ind w:left="1800" w:hanging="180"/>
      </w:pPr>
    </w:lvl>
    <w:lvl w:ilvl="3" w:tplc="9174A29E" w:tentative="1">
      <w:start w:val="1"/>
      <w:numFmt w:val="decimal"/>
      <w:lvlText w:val="%4."/>
      <w:lvlJc w:val="left"/>
      <w:pPr>
        <w:ind w:left="2520" w:hanging="360"/>
      </w:pPr>
    </w:lvl>
    <w:lvl w:ilvl="4" w:tplc="2F1CC500" w:tentative="1">
      <w:start w:val="1"/>
      <w:numFmt w:val="lowerLetter"/>
      <w:lvlText w:val="%5."/>
      <w:lvlJc w:val="left"/>
      <w:pPr>
        <w:ind w:left="3240" w:hanging="360"/>
      </w:pPr>
    </w:lvl>
    <w:lvl w:ilvl="5" w:tplc="1FBEFDB4" w:tentative="1">
      <w:start w:val="1"/>
      <w:numFmt w:val="lowerRoman"/>
      <w:lvlText w:val="%6."/>
      <w:lvlJc w:val="right"/>
      <w:pPr>
        <w:ind w:left="3960" w:hanging="180"/>
      </w:pPr>
    </w:lvl>
    <w:lvl w:ilvl="6" w:tplc="920A2F3E" w:tentative="1">
      <w:start w:val="1"/>
      <w:numFmt w:val="decimal"/>
      <w:lvlText w:val="%7."/>
      <w:lvlJc w:val="left"/>
      <w:pPr>
        <w:ind w:left="4680" w:hanging="360"/>
      </w:pPr>
    </w:lvl>
    <w:lvl w:ilvl="7" w:tplc="A2924904" w:tentative="1">
      <w:start w:val="1"/>
      <w:numFmt w:val="lowerLetter"/>
      <w:lvlText w:val="%8."/>
      <w:lvlJc w:val="left"/>
      <w:pPr>
        <w:ind w:left="5400" w:hanging="360"/>
      </w:pPr>
    </w:lvl>
    <w:lvl w:ilvl="8" w:tplc="75B2937A"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8DE6F26">
      <w:start w:val="1"/>
      <w:numFmt w:val="decimal"/>
      <w:lvlText w:val="%1."/>
      <w:lvlJc w:val="left"/>
      <w:pPr>
        <w:ind w:left="360" w:hanging="360"/>
      </w:pPr>
    </w:lvl>
    <w:lvl w:ilvl="1" w:tplc="7A42BA2A" w:tentative="1">
      <w:start w:val="1"/>
      <w:numFmt w:val="lowerLetter"/>
      <w:lvlText w:val="%2."/>
      <w:lvlJc w:val="left"/>
      <w:pPr>
        <w:ind w:left="1080" w:hanging="360"/>
      </w:pPr>
    </w:lvl>
    <w:lvl w:ilvl="2" w:tplc="57444F72" w:tentative="1">
      <w:start w:val="1"/>
      <w:numFmt w:val="lowerRoman"/>
      <w:lvlText w:val="%3."/>
      <w:lvlJc w:val="right"/>
      <w:pPr>
        <w:ind w:left="1800" w:hanging="180"/>
      </w:pPr>
    </w:lvl>
    <w:lvl w:ilvl="3" w:tplc="1C6E2AA8" w:tentative="1">
      <w:start w:val="1"/>
      <w:numFmt w:val="decimal"/>
      <w:lvlText w:val="%4."/>
      <w:lvlJc w:val="left"/>
      <w:pPr>
        <w:ind w:left="2520" w:hanging="360"/>
      </w:pPr>
    </w:lvl>
    <w:lvl w:ilvl="4" w:tplc="D932FEE8" w:tentative="1">
      <w:start w:val="1"/>
      <w:numFmt w:val="lowerLetter"/>
      <w:lvlText w:val="%5."/>
      <w:lvlJc w:val="left"/>
      <w:pPr>
        <w:ind w:left="3240" w:hanging="360"/>
      </w:pPr>
    </w:lvl>
    <w:lvl w:ilvl="5" w:tplc="A4C6B4BA" w:tentative="1">
      <w:start w:val="1"/>
      <w:numFmt w:val="lowerRoman"/>
      <w:lvlText w:val="%6."/>
      <w:lvlJc w:val="right"/>
      <w:pPr>
        <w:ind w:left="3960" w:hanging="180"/>
      </w:pPr>
    </w:lvl>
    <w:lvl w:ilvl="6" w:tplc="D2E2AA6C" w:tentative="1">
      <w:start w:val="1"/>
      <w:numFmt w:val="decimal"/>
      <w:lvlText w:val="%7."/>
      <w:lvlJc w:val="left"/>
      <w:pPr>
        <w:ind w:left="4680" w:hanging="360"/>
      </w:pPr>
    </w:lvl>
    <w:lvl w:ilvl="7" w:tplc="6B0E56C8" w:tentative="1">
      <w:start w:val="1"/>
      <w:numFmt w:val="lowerLetter"/>
      <w:lvlText w:val="%8."/>
      <w:lvlJc w:val="left"/>
      <w:pPr>
        <w:ind w:left="5400" w:hanging="360"/>
      </w:pPr>
    </w:lvl>
    <w:lvl w:ilvl="8" w:tplc="9E688FCC" w:tentative="1">
      <w:start w:val="1"/>
      <w:numFmt w:val="lowerRoman"/>
      <w:lvlText w:val="%9."/>
      <w:lvlJc w:val="right"/>
      <w:pPr>
        <w:ind w:left="6120" w:hanging="180"/>
      </w:pPr>
    </w:lvl>
  </w:abstractNum>
  <w:num w:numId="1" w16cid:durableId="534150436">
    <w:abstractNumId w:val="2"/>
  </w:num>
  <w:num w:numId="2" w16cid:durableId="562329523">
    <w:abstractNumId w:val="1"/>
  </w:num>
  <w:num w:numId="3" w16cid:durableId="957641955">
    <w:abstractNumId w:val="0"/>
  </w:num>
  <w:num w:numId="4" w16cid:durableId="2132286111">
    <w:abstractNumId w:val="3"/>
  </w:num>
  <w:num w:numId="5" w16cid:durableId="545529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7399"/>
    <w:rsid w:val="00045542"/>
    <w:rsid w:val="00060B3E"/>
    <w:rsid w:val="00080BB1"/>
    <w:rsid w:val="0008530A"/>
    <w:rsid w:val="000A1B3E"/>
    <w:rsid w:val="000B6594"/>
    <w:rsid w:val="000C297A"/>
    <w:rsid w:val="000C3CB3"/>
    <w:rsid w:val="000D1907"/>
    <w:rsid w:val="000E198B"/>
    <w:rsid w:val="000F4270"/>
    <w:rsid w:val="00104719"/>
    <w:rsid w:val="00112D62"/>
    <w:rsid w:val="00121BE9"/>
    <w:rsid w:val="00143727"/>
    <w:rsid w:val="001519ED"/>
    <w:rsid w:val="00152F4A"/>
    <w:rsid w:val="0015751A"/>
    <w:rsid w:val="00160AE4"/>
    <w:rsid w:val="0016103F"/>
    <w:rsid w:val="00162F32"/>
    <w:rsid w:val="00180152"/>
    <w:rsid w:val="00185CF9"/>
    <w:rsid w:val="0019214F"/>
    <w:rsid w:val="001E6D89"/>
    <w:rsid w:val="001F3142"/>
    <w:rsid w:val="001F6A14"/>
    <w:rsid w:val="001F7607"/>
    <w:rsid w:val="00200B83"/>
    <w:rsid w:val="0020265C"/>
    <w:rsid w:val="002210E1"/>
    <w:rsid w:val="002431E6"/>
    <w:rsid w:val="0025181A"/>
    <w:rsid w:val="00286AF5"/>
    <w:rsid w:val="002A39FB"/>
    <w:rsid w:val="002B3242"/>
    <w:rsid w:val="002C1EE4"/>
    <w:rsid w:val="002D68E6"/>
    <w:rsid w:val="002E05B1"/>
    <w:rsid w:val="002F420F"/>
    <w:rsid w:val="00306CFE"/>
    <w:rsid w:val="003374CA"/>
    <w:rsid w:val="00346A6A"/>
    <w:rsid w:val="00356828"/>
    <w:rsid w:val="00361C3E"/>
    <w:rsid w:val="00362E9F"/>
    <w:rsid w:val="00374C74"/>
    <w:rsid w:val="003812F0"/>
    <w:rsid w:val="00385A48"/>
    <w:rsid w:val="00386C48"/>
    <w:rsid w:val="00391B65"/>
    <w:rsid w:val="003A050B"/>
    <w:rsid w:val="003C000B"/>
    <w:rsid w:val="003D1A8A"/>
    <w:rsid w:val="003E463F"/>
    <w:rsid w:val="003F16EC"/>
    <w:rsid w:val="00406BB2"/>
    <w:rsid w:val="004227F0"/>
    <w:rsid w:val="00432436"/>
    <w:rsid w:val="00432A58"/>
    <w:rsid w:val="00460145"/>
    <w:rsid w:val="004C4312"/>
    <w:rsid w:val="004C4710"/>
    <w:rsid w:val="004C5B76"/>
    <w:rsid w:val="004C691D"/>
    <w:rsid w:val="004D0059"/>
    <w:rsid w:val="004F2519"/>
    <w:rsid w:val="004F2BE4"/>
    <w:rsid w:val="004F6A05"/>
    <w:rsid w:val="00500EDE"/>
    <w:rsid w:val="00502FAC"/>
    <w:rsid w:val="0052097E"/>
    <w:rsid w:val="005547BE"/>
    <w:rsid w:val="005659DC"/>
    <w:rsid w:val="005671CE"/>
    <w:rsid w:val="00576668"/>
    <w:rsid w:val="00577911"/>
    <w:rsid w:val="00581CBC"/>
    <w:rsid w:val="005922D4"/>
    <w:rsid w:val="00593441"/>
    <w:rsid w:val="005A3905"/>
    <w:rsid w:val="005B1BCE"/>
    <w:rsid w:val="005C4220"/>
    <w:rsid w:val="005D20D1"/>
    <w:rsid w:val="005F1A05"/>
    <w:rsid w:val="005F1F1F"/>
    <w:rsid w:val="005F7902"/>
    <w:rsid w:val="005F7CFF"/>
    <w:rsid w:val="00604C88"/>
    <w:rsid w:val="0061022F"/>
    <w:rsid w:val="006224CF"/>
    <w:rsid w:val="0062478B"/>
    <w:rsid w:val="00625425"/>
    <w:rsid w:val="00627F1E"/>
    <w:rsid w:val="00630FC3"/>
    <w:rsid w:val="0064572B"/>
    <w:rsid w:val="00655B89"/>
    <w:rsid w:val="006579BF"/>
    <w:rsid w:val="00672BA1"/>
    <w:rsid w:val="00683E86"/>
    <w:rsid w:val="00686D39"/>
    <w:rsid w:val="0069459B"/>
    <w:rsid w:val="006A1A97"/>
    <w:rsid w:val="006A407D"/>
    <w:rsid w:val="006A44EA"/>
    <w:rsid w:val="006B0D74"/>
    <w:rsid w:val="006C36D8"/>
    <w:rsid w:val="006D3588"/>
    <w:rsid w:val="006E04B9"/>
    <w:rsid w:val="006E0827"/>
    <w:rsid w:val="006E1CAE"/>
    <w:rsid w:val="006E6095"/>
    <w:rsid w:val="006F2876"/>
    <w:rsid w:val="006F45E6"/>
    <w:rsid w:val="007033D9"/>
    <w:rsid w:val="00705BAF"/>
    <w:rsid w:val="00715EEE"/>
    <w:rsid w:val="00716238"/>
    <w:rsid w:val="0072321C"/>
    <w:rsid w:val="00726C20"/>
    <w:rsid w:val="007407FE"/>
    <w:rsid w:val="00741679"/>
    <w:rsid w:val="00756684"/>
    <w:rsid w:val="0077192B"/>
    <w:rsid w:val="00782AA8"/>
    <w:rsid w:val="00786C55"/>
    <w:rsid w:val="00787731"/>
    <w:rsid w:val="00794A0D"/>
    <w:rsid w:val="007A0512"/>
    <w:rsid w:val="007B5C11"/>
    <w:rsid w:val="007C19A3"/>
    <w:rsid w:val="007D1AE6"/>
    <w:rsid w:val="007F7479"/>
    <w:rsid w:val="008026A8"/>
    <w:rsid w:val="008524F6"/>
    <w:rsid w:val="0085367A"/>
    <w:rsid w:val="008576D9"/>
    <w:rsid w:val="008635A8"/>
    <w:rsid w:val="0086545D"/>
    <w:rsid w:val="00876292"/>
    <w:rsid w:val="008871CA"/>
    <w:rsid w:val="008C4141"/>
    <w:rsid w:val="008D2167"/>
    <w:rsid w:val="008E5A48"/>
    <w:rsid w:val="00900898"/>
    <w:rsid w:val="00905541"/>
    <w:rsid w:val="00913561"/>
    <w:rsid w:val="00917C1E"/>
    <w:rsid w:val="00933D60"/>
    <w:rsid w:val="00934D3A"/>
    <w:rsid w:val="00940576"/>
    <w:rsid w:val="00942B62"/>
    <w:rsid w:val="00964F17"/>
    <w:rsid w:val="009758B0"/>
    <w:rsid w:val="0097688B"/>
    <w:rsid w:val="009A210A"/>
    <w:rsid w:val="009C6439"/>
    <w:rsid w:val="009D77D6"/>
    <w:rsid w:val="009F343E"/>
    <w:rsid w:val="00A16B4F"/>
    <w:rsid w:val="00A25CC6"/>
    <w:rsid w:val="00A52375"/>
    <w:rsid w:val="00AA5AE3"/>
    <w:rsid w:val="00AB628F"/>
    <w:rsid w:val="00AC3F19"/>
    <w:rsid w:val="00AE79D8"/>
    <w:rsid w:val="00AF1DB0"/>
    <w:rsid w:val="00B0505E"/>
    <w:rsid w:val="00B41716"/>
    <w:rsid w:val="00B445B0"/>
    <w:rsid w:val="00B80AB6"/>
    <w:rsid w:val="00B83410"/>
    <w:rsid w:val="00B94D7B"/>
    <w:rsid w:val="00BA0ABC"/>
    <w:rsid w:val="00BC0320"/>
    <w:rsid w:val="00BC39EA"/>
    <w:rsid w:val="00BE533F"/>
    <w:rsid w:val="00BF3112"/>
    <w:rsid w:val="00C01F9E"/>
    <w:rsid w:val="00C413A4"/>
    <w:rsid w:val="00C556A0"/>
    <w:rsid w:val="00C60DF4"/>
    <w:rsid w:val="00C6220B"/>
    <w:rsid w:val="00C7075F"/>
    <w:rsid w:val="00C76DF6"/>
    <w:rsid w:val="00C83261"/>
    <w:rsid w:val="00CB0D1C"/>
    <w:rsid w:val="00CB591A"/>
    <w:rsid w:val="00CB6DA4"/>
    <w:rsid w:val="00CD2D9B"/>
    <w:rsid w:val="00D22D85"/>
    <w:rsid w:val="00D302AF"/>
    <w:rsid w:val="00D31C0D"/>
    <w:rsid w:val="00D347D8"/>
    <w:rsid w:val="00D37ED8"/>
    <w:rsid w:val="00D47BCE"/>
    <w:rsid w:val="00D47C9C"/>
    <w:rsid w:val="00D502E2"/>
    <w:rsid w:val="00D55AF3"/>
    <w:rsid w:val="00D710C9"/>
    <w:rsid w:val="00D90C7F"/>
    <w:rsid w:val="00D92DD8"/>
    <w:rsid w:val="00DA367A"/>
    <w:rsid w:val="00DC1960"/>
    <w:rsid w:val="00DC54C5"/>
    <w:rsid w:val="00DD1BB1"/>
    <w:rsid w:val="00DD576A"/>
    <w:rsid w:val="00DE2D3D"/>
    <w:rsid w:val="00DF061B"/>
    <w:rsid w:val="00E556FB"/>
    <w:rsid w:val="00E72B80"/>
    <w:rsid w:val="00E749A1"/>
    <w:rsid w:val="00E8118A"/>
    <w:rsid w:val="00E90522"/>
    <w:rsid w:val="00EA706A"/>
    <w:rsid w:val="00EB62F7"/>
    <w:rsid w:val="00EC696D"/>
    <w:rsid w:val="00F06E9A"/>
    <w:rsid w:val="00F478E5"/>
    <w:rsid w:val="00F543DF"/>
    <w:rsid w:val="00F60174"/>
    <w:rsid w:val="00F64252"/>
    <w:rsid w:val="00F667FA"/>
    <w:rsid w:val="00F764BE"/>
    <w:rsid w:val="00FA065D"/>
    <w:rsid w:val="00FA3BDE"/>
    <w:rsid w:val="00FC4317"/>
    <w:rsid w:val="00FC5532"/>
    <w:rsid w:val="00FC705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4BE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rPr>
      <w:lang w:val="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customStyle="1" w:styleId="Default">
    <w:name w:val="Default"/>
    <w:rsid w:val="008635A8"/>
    <w:pPr>
      <w:autoSpaceDE w:val="0"/>
      <w:autoSpaceDN w:val="0"/>
      <w:adjustRightInd w:val="0"/>
      <w:spacing w:line="240" w:lineRule="auto"/>
    </w:pPr>
    <w:rPr>
      <w:rFonts w:cs="Arial"/>
      <w:color w:val="000000"/>
      <w:sz w:val="24"/>
      <w:szCs w:val="24"/>
      <w:lang w:val="en-SG"/>
    </w:rPr>
  </w:style>
  <w:style w:type="character" w:styleId="Marquedecommentaire">
    <w:name w:val="annotation reference"/>
    <w:basedOn w:val="Policepardfaut"/>
    <w:uiPriority w:val="99"/>
    <w:semiHidden/>
    <w:unhideWhenUsed/>
    <w:rsid w:val="00787731"/>
    <w:rPr>
      <w:sz w:val="16"/>
      <w:szCs w:val="16"/>
    </w:rPr>
  </w:style>
  <w:style w:type="paragraph" w:styleId="Commentaire">
    <w:name w:val="annotation text"/>
    <w:basedOn w:val="Normal"/>
    <w:link w:val="CommentaireCar"/>
    <w:uiPriority w:val="99"/>
    <w:unhideWhenUsed/>
    <w:rsid w:val="00787731"/>
    <w:pPr>
      <w:spacing w:line="240" w:lineRule="auto"/>
    </w:pPr>
    <w:rPr>
      <w:szCs w:val="20"/>
    </w:rPr>
  </w:style>
  <w:style w:type="character" w:customStyle="1" w:styleId="CommentaireCar">
    <w:name w:val="Commentaire Car"/>
    <w:basedOn w:val="Policepardfaut"/>
    <w:link w:val="Commentaire"/>
    <w:uiPriority w:val="99"/>
    <w:rsid w:val="00787731"/>
    <w:rPr>
      <w:szCs w:val="20"/>
    </w:rPr>
  </w:style>
  <w:style w:type="paragraph" w:styleId="Objetducommentaire">
    <w:name w:val="annotation subject"/>
    <w:basedOn w:val="Commentaire"/>
    <w:next w:val="Commentaire"/>
    <w:link w:val="ObjetducommentaireCar"/>
    <w:uiPriority w:val="99"/>
    <w:semiHidden/>
    <w:unhideWhenUsed/>
    <w:rsid w:val="00787731"/>
    <w:rPr>
      <w:b/>
      <w:bCs/>
    </w:rPr>
  </w:style>
  <w:style w:type="character" w:customStyle="1" w:styleId="ObjetducommentaireCar">
    <w:name w:val="Objet du commentaire Car"/>
    <w:basedOn w:val="CommentaireCar"/>
    <w:link w:val="Objetducommentaire"/>
    <w:uiPriority w:val="99"/>
    <w:semiHidden/>
    <w:rsid w:val="00787731"/>
    <w:rPr>
      <w:b/>
      <w:bCs/>
      <w:szCs w:val="20"/>
    </w:rPr>
  </w:style>
  <w:style w:type="character" w:styleId="Lienhypertexte">
    <w:name w:val="Hyperlink"/>
    <w:basedOn w:val="Policepardfaut"/>
    <w:uiPriority w:val="99"/>
    <w:unhideWhenUsed/>
    <w:rsid w:val="00112D62"/>
    <w:rPr>
      <w:color w:val="0563C1" w:themeColor="hyperlink"/>
      <w:u w:val="single"/>
    </w:rPr>
  </w:style>
  <w:style w:type="character" w:styleId="Lienhypertextesuivivisit">
    <w:name w:val="FollowedHyperlink"/>
    <w:basedOn w:val="Policepardfaut"/>
    <w:uiPriority w:val="99"/>
    <w:semiHidden/>
    <w:unhideWhenUsed/>
    <w:rsid w:val="005B1BCE"/>
    <w:rPr>
      <w:color w:val="954F72" w:themeColor="followedHyperlink"/>
      <w:u w:val="single"/>
    </w:rPr>
  </w:style>
  <w:style w:type="paragraph" w:styleId="Rvision">
    <w:name w:val="Revision"/>
    <w:hidden/>
    <w:uiPriority w:val="99"/>
    <w:semiHidden/>
    <w:rsid w:val="00143727"/>
    <w:pPr>
      <w:spacing w:line="240" w:lineRule="auto"/>
    </w:pPr>
    <w:rPr>
      <w:lang w:val="en-US"/>
    </w:rPr>
  </w:style>
  <w:style w:type="character" w:customStyle="1" w:styleId="Mentionnonrsolue1">
    <w:name w:val="Mention non résolue1"/>
    <w:basedOn w:val="Policepardfaut"/>
    <w:uiPriority w:val="99"/>
    <w:semiHidden/>
    <w:unhideWhenUsed/>
    <w:rsid w:val="0034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DA56517018B840B2E095C7EE7C8858" ma:contentTypeVersion="15" ma:contentTypeDescription="Create a new document." ma:contentTypeScope="" ma:versionID="5c6b1cc5777366ec8af96faa09833bc7">
  <xsd:schema xmlns:xsd="http://www.w3.org/2001/XMLSchema" xmlns:xs="http://www.w3.org/2001/XMLSchema" xmlns:p="http://schemas.microsoft.com/office/2006/metadata/properties" xmlns:ns3="b25f7e1c-757f-446f-b28f-2f7843ac27fc" xmlns:ns4="e480339f-7742-42be-8e83-fccef8bd821b" targetNamespace="http://schemas.microsoft.com/office/2006/metadata/properties" ma:root="true" ma:fieldsID="e6cdcf8b3307f27e9ce4e0375e5b4ee2" ns3:_="" ns4:_="">
    <xsd:import namespace="b25f7e1c-757f-446f-b28f-2f7843ac27fc"/>
    <xsd:import namespace="e480339f-7742-42be-8e83-fccef8bd8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f7e1c-757f-446f-b28f-2f7843ac2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0339f-7742-42be-8e83-fccef8bd82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25f7e1c-757f-446f-b28f-2f7843ac27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877F8-3F62-4790-97D7-014A5F7B144E}">
  <ds:schemaRefs>
    <ds:schemaRef ds:uri="http://schemas.openxmlformats.org/officeDocument/2006/bibliography"/>
  </ds:schemaRefs>
</ds:datastoreItem>
</file>

<file path=customXml/itemProps2.xml><?xml version="1.0" encoding="utf-8"?>
<ds:datastoreItem xmlns:ds="http://schemas.openxmlformats.org/officeDocument/2006/customXml" ds:itemID="{0BB5FD7D-5C9A-4683-9408-C5C0D68D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f7e1c-757f-446f-b28f-2f7843ac27fc"/>
    <ds:schemaRef ds:uri="e480339f-7742-42be-8e83-fccef8bd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F8033-16C7-42C6-B3D5-AB1C5BCAAE5B}">
  <ds:schemaRefs>
    <ds:schemaRef ds:uri="http://schemas.microsoft.com/office/2006/metadata/properties"/>
    <ds:schemaRef ds:uri="http://schemas.microsoft.com/office/infopath/2007/PartnerControls"/>
    <ds:schemaRef ds:uri="b25f7e1c-757f-446f-b28f-2f7843ac27fc"/>
  </ds:schemaRefs>
</ds:datastoreItem>
</file>

<file path=customXml/itemProps4.xml><?xml version="1.0" encoding="utf-8"?>
<ds:datastoreItem xmlns:ds="http://schemas.openxmlformats.org/officeDocument/2006/customXml" ds:itemID="{A37E2341-0FF6-4732-9234-C51594B4B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4</cp:revision>
  <cp:lastPrinted>2023-11-16T01:47:00Z</cp:lastPrinted>
  <dcterms:created xsi:type="dcterms:W3CDTF">2024-02-15T14:16:00Z</dcterms:created>
  <dcterms:modified xsi:type="dcterms:W3CDTF">2024-02-23T12:21:00Z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0x010100D4DA56517018B840B2E095C7EE7C8858</vt:lpwstr>
  </property>
  <property fmtid="{D5CDD505-2E9C-101B-9397-08002B2CF9AE}" pid="3" name="MSIP_Label_9ac4b2bc-ebd9-4dd7-ace5-ea1cea0e7ede_ActionId">
    <vt:lpwstr>47eda631-28ae-4fec-aa4d-467fafbc7596</vt:lpwstr>
  </property>
  <property fmtid="{D5CDD505-2E9C-101B-9397-08002B2CF9AE}" pid="4" name="MSIP_Label_9ac4b2bc-ebd9-4dd7-ace5-ea1cea0e7ede_ContentBits">
    <vt:lpwstr>0</vt:lpwstr>
  </property>
  <property fmtid="{D5CDD505-2E9C-101B-9397-08002B2CF9AE}" pid="5" name="MSIP_Label_9ac4b2bc-ebd9-4dd7-ace5-ea1cea0e7ede_Enabled">
    <vt:lpwstr>true</vt:lpwstr>
  </property>
  <property fmtid="{D5CDD505-2E9C-101B-9397-08002B2CF9AE}" pid="6" name="MSIP_Label_9ac4b2bc-ebd9-4dd7-ace5-ea1cea0e7ede_Method">
    <vt:lpwstr>Privileged</vt:lpwstr>
  </property>
  <property fmtid="{D5CDD505-2E9C-101B-9397-08002B2CF9AE}" pid="7" name="MSIP_Label_9ac4b2bc-ebd9-4dd7-ace5-ea1cea0e7ede_Name">
    <vt:lpwstr>Internal</vt:lpwstr>
  </property>
  <property fmtid="{D5CDD505-2E9C-101B-9397-08002B2CF9AE}" pid="8" name="MSIP_Label_9ac4b2bc-ebd9-4dd7-ace5-ea1cea0e7ede_SetDate">
    <vt:lpwstr>2024-02-06T10:49:17Z</vt:lpwstr>
  </property>
  <property fmtid="{D5CDD505-2E9C-101B-9397-08002B2CF9AE}" pid="9" name="MSIP_Label_9ac4b2bc-ebd9-4dd7-ace5-ea1cea0e7ede_SiteId">
    <vt:lpwstr>f2460eca-756e-4a3f-bd14-d2a84590fc31</vt:lpwstr>
  </property>
  <property fmtid="{D5CDD505-2E9C-101B-9397-08002B2CF9AE}" pid="10" name="Niveau_Confidentialite">
    <vt:lpwstr>1;#Interne</vt:lpwstr>
  </property>
</Properties>
</file>